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Утверждена Приказом  </w:t>
      </w:r>
      <w:r/>
    </w:p>
    <w:p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ООО «Мир технологий»</w:t>
      </w:r>
      <w:r/>
    </w:p>
    <w:p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«10» ноября 2022 г. № МТ03/ПД</w:t>
      </w:r>
      <w:r/>
    </w:p>
    <w:p>
      <w:pPr>
        <w:jc w:val="right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ПОЛИТИКА</w:t>
      </w:r>
      <w:r/>
    </w:p>
    <w:p>
      <w:pPr>
        <w:jc w:val="center"/>
        <w:rPr>
          <w:b/>
        </w:rPr>
      </w:pPr>
      <w:r>
        <w:rPr>
          <w:b/>
        </w:rPr>
        <w:t xml:space="preserve">в отношении обработки персональных данных в </w:t>
      </w:r>
      <w:r/>
    </w:p>
    <w:p>
      <w:pPr>
        <w:jc w:val="center"/>
      </w:pPr>
      <w:r>
        <w:rPr>
          <w:b/>
        </w:rPr>
        <w:t xml:space="preserve">ООО «Мир технологий»</w:t>
      </w:r>
      <w:r/>
    </w:p>
    <w:p>
      <w:pPr>
        <w:jc w:val="center"/>
      </w:pPr>
      <w:r/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  <w:rPr>
          <w:rStyle w:val="614"/>
        </w:rPr>
      </w:pPr>
      <w:r/>
      <w:bookmarkStart w:id="0" w:name="_Toc348956364"/>
      <w:r/>
      <w:bookmarkStart w:id="1" w:name="_Toc352150355"/>
      <w:r>
        <w:rPr>
          <w:rStyle w:val="614"/>
        </w:rPr>
        <w:t xml:space="preserve">Общие положения 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Настоящая Политика в отношении обработки п</w:t>
      </w:r>
      <w:r>
        <w:t xml:space="preserve">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нормативными правовыми актами Российской Федерации в области защиты и обработки п</w:t>
      </w:r>
      <w:r>
        <w:t xml:space="preserve">ерсональных данных и действует в отношении всех персональных данных (далее – данные), которые ООО «Мир технологий» (далее также – Оператор, Общество) может получить от субъекта персональных данных, являющегося стороной по гражданско-правовому договору, от </w:t>
      </w:r>
      <w:r>
        <w:rPr>
          <w:color w:val="000000"/>
          <w:shd w:val="clear" w:color="auto" w:fill="ffffff"/>
        </w:rPr>
        <w:t xml:space="preserve">пользователя сети Интернет (далее – Пользователь) во время использования им </w:t>
      </w:r>
      <w:r>
        <w:rPr>
          <w:color w:val="000000"/>
          <w:shd w:val="clear" w:color="auto" w:fill="ffffff"/>
        </w:rPr>
        <w:t xml:space="preserve">интерент</w:t>
      </w:r>
      <w:r>
        <w:rPr>
          <w:color w:val="000000"/>
          <w:shd w:val="clear" w:color="auto" w:fill="ffffff"/>
        </w:rPr>
        <w:t xml:space="preserve">-сайта Оператора - </w:t>
      </w:r>
      <w:hyperlink r:id="rId9" w:tooltip="http://www.mir-teh.pro" w:history="1">
        <w:r>
          <w:rPr>
            <w:rStyle w:val="610"/>
            <w:lang w:val="en-US"/>
          </w:rPr>
          <w:t xml:space="preserve">www</w:t>
        </w:r>
        <w:r>
          <w:rPr>
            <w:rStyle w:val="610"/>
          </w:rPr>
          <w:t xml:space="preserve">.mir-teh.pro</w:t>
        </w:r>
      </w:hyperlink>
      <w:r>
        <w:t xml:space="preserve"> (далее – Сайт)</w:t>
      </w:r>
      <w:r>
        <w:rPr>
          <w:color w:val="000000"/>
          <w:shd w:val="clear" w:color="auto" w:fill="ffffff"/>
        </w:rPr>
        <w:t xml:space="preserve">, сервисов, служб, программных обеспечений, продуктов или услуг</w:t>
      </w:r>
      <w:r>
        <w:rPr>
          <w:rStyle w:val="616"/>
          <w:color w:val="000000"/>
          <w:shd w:val="clear" w:color="auto" w:fill="ffffff"/>
        </w:rPr>
        <w:t xml:space="preserve"> </w:t>
      </w:r>
      <w:r>
        <w:t xml:space="preserve">Оператора, а также от субъекта персональных данных, состоящего с Оператором в </w:t>
      </w:r>
      <w:r>
        <w:t xml:space="preserve">отношениях, регулируемых трудовым законодательством (далее – Работник), а также на работников сторонних организаций, взаимодействующих с Оператором на основании соответствующих договоров, нормативных, правовых и организационно-распорядительных документов. 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Информация об Обществе, как об операторе персональных данных:</w:t>
      </w:r>
      <w:r/>
    </w:p>
    <w:p>
      <w:pPr>
        <w:jc w:val="both"/>
        <w:spacing w:line="276" w:lineRule="auto"/>
        <w:tabs>
          <w:tab w:val="left" w:pos="1134" w:leader="none"/>
        </w:tabs>
      </w:pPr>
      <w:r>
        <w:tab/>
        <w:t xml:space="preserve">– Полное наименование: Оператором является: Общество с ограниченной ответственностью «Мир технологий»;</w:t>
      </w:r>
      <w:r/>
    </w:p>
    <w:p>
      <w:pPr>
        <w:jc w:val="both"/>
        <w:spacing w:line="276" w:lineRule="auto"/>
        <w:tabs>
          <w:tab w:val="left" w:pos="1134" w:leader="none"/>
        </w:tabs>
      </w:pPr>
      <w:r>
        <w:rPr>
          <w:b/>
        </w:rPr>
        <w:tab/>
      </w:r>
      <w:r>
        <w:t xml:space="preserve">– Краткое наименование: ООО «Мир технологий»;</w:t>
      </w:r>
      <w:r/>
    </w:p>
    <w:p>
      <w:pPr>
        <w:jc w:val="both"/>
        <w:spacing w:line="276" w:lineRule="auto"/>
        <w:tabs>
          <w:tab w:val="left" w:pos="1134" w:leader="none"/>
        </w:tabs>
        <w:rPr>
          <w:color w:val="000000"/>
          <w:shd w:val="clear" w:color="auto" w:fill="ffffff"/>
        </w:rPr>
      </w:pPr>
      <w:r>
        <w:rPr>
          <w:color w:val="000000"/>
        </w:rPr>
        <w:tab/>
      </w:r>
      <w:r>
        <w:t xml:space="preserve">– </w:t>
      </w:r>
      <w:r>
        <w:rPr>
          <w:color w:val="000000"/>
        </w:rPr>
        <w:t xml:space="preserve">ОГРН </w:t>
      </w:r>
      <w:r>
        <w:rPr>
          <w:color w:val="000000"/>
          <w:shd w:val="clear" w:color="auto" w:fill="ffffff"/>
        </w:rPr>
        <w:t xml:space="preserve">1196952013224, ИНН 6908018564; </w:t>
      </w:r>
      <w:r/>
    </w:p>
    <w:p>
      <w:pPr>
        <w:jc w:val="both"/>
        <w:spacing w:line="276" w:lineRule="auto"/>
        <w:tabs>
          <w:tab w:val="left" w:pos="1134" w:leader="none"/>
        </w:tabs>
        <w:rPr>
          <w:color w:val="000000"/>
          <w:shd w:val="clear" w:color="auto" w:fill="ffffff"/>
        </w:rPr>
      </w:pPr>
      <w:r>
        <w:tab/>
        <w:t xml:space="preserve">– Юридический адрес</w:t>
      </w:r>
      <w:r>
        <w:rPr>
          <w:color w:val="000000"/>
        </w:rPr>
        <w:t xml:space="preserve">: </w:t>
      </w:r>
      <w:r>
        <w:rPr>
          <w:color w:val="000000"/>
          <w:shd w:val="clear" w:color="auto" w:fill="ffffff"/>
        </w:rPr>
        <w:t xml:space="preserve">170001, Тверская обл., </w:t>
      </w:r>
      <w:r>
        <w:rPr>
          <w:color w:val="000000"/>
          <w:shd w:val="clear" w:color="auto" w:fill="ffffff"/>
        </w:rPr>
        <w:t xml:space="preserve">г.о</w:t>
      </w:r>
      <w:r>
        <w:rPr>
          <w:color w:val="000000"/>
          <w:shd w:val="clear" w:color="auto" w:fill="ffffff"/>
        </w:rPr>
        <w:t xml:space="preserve">. Тверь, г. Тверь, </w:t>
      </w:r>
      <w:r>
        <w:rPr>
          <w:color w:val="000000"/>
          <w:shd w:val="clear" w:color="auto" w:fill="ffffff"/>
        </w:rPr>
        <w:t xml:space="preserve">пр-кт</w:t>
      </w:r>
      <w:r>
        <w:rPr>
          <w:color w:val="000000"/>
          <w:shd w:val="clear" w:color="auto" w:fill="ffffff"/>
        </w:rPr>
        <w:t xml:space="preserve"> Калинина, д. 15, стр. 4, этаж 2, </w:t>
      </w:r>
      <w:r>
        <w:rPr>
          <w:color w:val="000000"/>
          <w:shd w:val="clear" w:color="auto" w:fill="ffffff"/>
        </w:rPr>
        <w:t xml:space="preserve">помещ</w:t>
      </w:r>
      <w:r>
        <w:rPr>
          <w:color w:val="000000"/>
          <w:shd w:val="clear" w:color="auto" w:fill="ffffff"/>
        </w:rPr>
        <w:t xml:space="preserve">. 2;</w:t>
      </w:r>
      <w:r/>
    </w:p>
    <w:p>
      <w:pPr>
        <w:jc w:val="both"/>
        <w:tabs>
          <w:tab w:val="left" w:pos="1134" w:leader="none"/>
        </w:tabs>
        <w:rPr>
          <w:color w:val="000000"/>
        </w:rPr>
      </w:pPr>
      <w:r>
        <w:rPr>
          <w:color w:val="000000"/>
          <w:shd w:val="clear" w:color="auto" w:fill="ffffff"/>
        </w:rPr>
        <w:tab/>
      </w:r>
      <w:r>
        <w:t xml:space="preserve">– </w:t>
      </w:r>
      <w:r>
        <w:rPr>
          <w:color w:val="000000"/>
          <w:shd w:val="clear" w:color="auto" w:fill="ffffff"/>
        </w:rPr>
        <w:t xml:space="preserve">Адрес электронной почты:</w:t>
      </w:r>
      <w:r>
        <w:rPr>
          <w:color w:val="000000"/>
        </w:rPr>
        <w:t xml:space="preserve"> </w:t>
      </w:r>
      <w:hyperlink r:id="rId10" w:tooltip="mailto:info@mir-teh.pro" w:history="1">
        <w:r>
          <w:rPr>
            <w:rStyle w:val="610"/>
            <w:color w:val="000000"/>
          </w:rPr>
          <w:t xml:space="preserve">info@mir-teh.pro</w:t>
        </w:r>
      </w:hyperlink>
      <w:r>
        <w:rPr>
          <w:color w:val="000000"/>
        </w:rPr>
        <w:t xml:space="preserve">;</w:t>
      </w:r>
      <w:r/>
    </w:p>
    <w:p>
      <w:pPr>
        <w:jc w:val="both"/>
        <w:tabs>
          <w:tab w:val="left" w:pos="1134" w:leader="none"/>
        </w:tabs>
      </w:pPr>
      <w:r>
        <w:rPr>
          <w:color w:val="000000"/>
        </w:rPr>
        <w:tab/>
      </w:r>
      <w:r>
        <w:t xml:space="preserve">– </w:t>
      </w:r>
      <w:r>
        <w:rPr>
          <w:color w:val="000000"/>
        </w:rPr>
        <w:t xml:space="preserve">Сайт: </w:t>
      </w:r>
      <w:hyperlink r:id="rId11" w:tooltip="http://www.mir-teh.pro" w:history="1">
        <w:r>
          <w:rPr>
            <w:rStyle w:val="610"/>
            <w:lang w:val="en-US"/>
          </w:rPr>
          <w:t xml:space="preserve">www</w:t>
        </w:r>
        <w:r>
          <w:rPr>
            <w:rStyle w:val="610"/>
          </w:rPr>
          <w:t xml:space="preserve">.mir-teh.pro</w:t>
        </w:r>
      </w:hyperlink>
      <w:r>
        <w:t xml:space="preserve">;</w:t>
      </w:r>
      <w:r/>
    </w:p>
    <w:p>
      <w:pPr>
        <w:ind w:firstLine="1134"/>
        <w:jc w:val="both"/>
        <w:tabs>
          <w:tab w:val="left" w:pos="851" w:leader="none"/>
        </w:tabs>
        <w:rPr>
          <w:color w:val="000000"/>
        </w:rPr>
      </w:pPr>
      <w:r>
        <w:t xml:space="preserve">– </w:t>
      </w:r>
      <w:r>
        <w:rPr>
          <w:color w:val="000000"/>
        </w:rPr>
        <w:t xml:space="preserve">Регистрационный номер в Реестре операторов персональных данных: 69-21-004416, Приказ № 177 от 16.09.2021.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Оператор вправе вно</w:t>
      </w:r>
      <w:r>
        <w:t xml:space="preserve">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  <w:r/>
    </w:p>
    <w:p>
      <w:pPr>
        <w:ind w:left="709"/>
        <w:jc w:val="both"/>
        <w:spacing w:line="276" w:lineRule="auto"/>
        <w:tabs>
          <w:tab w:val="left" w:pos="1134" w:leader="none"/>
        </w:tabs>
      </w:pPr>
      <w:r/>
      <w:r/>
    </w:p>
    <w:p>
      <w:pPr>
        <w:ind w:left="709"/>
        <w:jc w:val="both"/>
        <w:spacing w:line="276" w:lineRule="auto"/>
        <w:tabs>
          <w:tab w:val="left" w:pos="1134" w:leader="none"/>
        </w:tabs>
      </w:pPr>
      <w:r/>
      <w:r/>
    </w:p>
    <w:p>
      <w:pPr>
        <w:ind w:left="709"/>
        <w:jc w:val="both"/>
        <w:spacing w:line="276" w:lineRule="auto"/>
        <w:tabs>
          <w:tab w:val="left" w:pos="1134" w:leader="none"/>
        </w:tabs>
        <w:rPr>
          <w:rStyle w:val="614"/>
        </w:rPr>
      </w:pPr>
      <w:r/>
      <w:bookmarkStart w:id="2" w:name="_GoBack"/>
      <w:r/>
      <w:bookmarkEnd w:id="2"/>
      <w:r/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  <w:rPr>
          <w:rStyle w:val="614"/>
        </w:rPr>
      </w:pPr>
      <w:r>
        <w:rPr>
          <w:rStyle w:val="614"/>
        </w:rPr>
        <w:t xml:space="preserve">Основные термины и определения</w:t>
      </w:r>
      <w:bookmarkEnd w:id="0"/>
      <w:r/>
      <w:bookmarkEnd w:id="1"/>
      <w:r/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Автоматизированная обработка персональных данных – обработка персональных данных с помощью средств вычислительной техники.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851" w:leader="none"/>
        </w:tabs>
      </w:pPr>
      <w:r>
        <w:t xml:space="preserve"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276" w:leader="none"/>
        </w:tabs>
      </w:pPr>
      <w:r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Оператор персональных данных (оператор) – государственный орган, муниципальный орган, юридическое или физическое лицо, самостоятельно или со</w:t>
      </w:r>
      <w: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Распространение персональных данных – действия, направленные на раскрытие персональных данных неопределенному кругу лиц.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851" w:leader="none"/>
        </w:tabs>
      </w:pPr>
      <w:r>
        <w:rPr>
          <w:bCs/>
        </w:rPr>
        <w:t xml:space="preserve">Трансграничная передача персональных данных </w:t>
      </w:r>
      <w:r>
        <w:t xml:space="preserve"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/>
    </w:p>
    <w:p>
      <w:pPr>
        <w:pStyle w:val="617"/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Уничт</w:t>
      </w:r>
      <w:r>
        <w:t xml:space="preserve">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  <w:rPr>
          <w:rStyle w:val="615"/>
          <w:b/>
          <w:bCs w:val="0"/>
        </w:rPr>
      </w:pPr>
      <w:r/>
      <w:bookmarkStart w:id="3" w:name="_Toc352150359"/>
      <w:r>
        <w:rPr>
          <w:rStyle w:val="615"/>
          <w:b/>
          <w:bCs w:val="0"/>
        </w:rPr>
        <w:t xml:space="preserve">Цели </w:t>
      </w:r>
      <w:r>
        <w:rPr>
          <w:rStyle w:val="614"/>
        </w:rPr>
        <w:t xml:space="preserve">сбора</w:t>
      </w:r>
      <w:r>
        <w:rPr>
          <w:rStyle w:val="615"/>
          <w:b/>
          <w:bCs w:val="0"/>
        </w:rPr>
        <w:t xml:space="preserve"> </w:t>
      </w:r>
      <w:bookmarkEnd w:id="3"/>
      <w:r>
        <w:rPr>
          <w:rStyle w:val="614"/>
        </w:rPr>
        <w:t xml:space="preserve">ПДн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Оператор обрабатывает </w:t>
      </w:r>
      <w:r>
        <w:t xml:space="preserve">ПДн</w:t>
      </w:r>
      <w:r>
        <w:t xml:space="preserve"> исключительно в следующих целях:</w:t>
      </w:r>
      <w:r/>
    </w:p>
    <w:p>
      <w:pPr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Исполнение требований Трудового Кодекса Российской Федерации;</w:t>
      </w:r>
      <w:r/>
    </w:p>
    <w:p>
      <w:pPr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Исполнение требований налогового законодательства в связи с исчислением и уплатой налога на доходы физических лиц, а также единого социального налога;</w:t>
      </w:r>
      <w:r/>
    </w:p>
    <w:p>
      <w:pPr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Исполнение требований пенсионного законодательства при формировании и представлении персонифицированных данных о каждом получателе доходов, учитываемых </w:t>
      </w:r>
      <w:r>
        <w:t xml:space="preserve">при начислении страховых взносов на обязательное пенсионное страхование и обеспечение;</w:t>
      </w:r>
      <w:r/>
    </w:p>
    <w:p>
      <w:pPr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Исполнение Оператором функции работодателя (ведение личных дел работников, исчисление стажа, организация командировок, создание визитных карточек);</w:t>
      </w:r>
      <w:r/>
    </w:p>
    <w:p>
      <w:pPr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Предоставление информации о субъекте;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Осуществление социальных выплат и других видов социальной помощи;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Для связи с </w:t>
      </w:r>
      <w:r>
        <w:t xml:space="preserve">Пользователем, в связи с заполнением формы обратной связи на Сайте Оператора, в том числе направление уведомлений, запросов и информации с целью направления индивидуального коммерческого предложения от Оператора на поставку (приобретение прав пользования) </w:t>
      </w:r>
      <w:r>
        <w:rPr>
          <w:color w:val="000000"/>
          <w:shd w:val="clear" w:color="auto" w:fill="ffffff"/>
        </w:rPr>
        <w:t xml:space="preserve">программного обеспечения, программных продуктов, сервисов, служб, или услуг</w:t>
      </w:r>
      <w:r>
        <w:rPr>
          <w:rStyle w:val="616"/>
          <w:color w:val="000000"/>
          <w:shd w:val="clear" w:color="auto" w:fill="ffffff"/>
        </w:rPr>
        <w:t xml:space="preserve"> Оператора;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Выполнение договорных обязательств.</w:t>
      </w:r>
      <w:r/>
    </w:p>
    <w:p>
      <w:pPr>
        <w:ind w:left="1134"/>
        <w:jc w:val="both"/>
        <w:spacing w:line="276" w:lineRule="auto"/>
        <w:tabs>
          <w:tab w:val="left" w:pos="1134" w:leader="none"/>
        </w:tabs>
      </w:pPr>
      <w:r/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</w:pPr>
      <w:r>
        <w:t xml:space="preserve">Правовые</w:t>
      </w:r>
      <w:r>
        <w:rPr>
          <w:rStyle w:val="615"/>
          <w:b/>
          <w:bCs w:val="0"/>
        </w:rPr>
        <w:t xml:space="preserve"> </w:t>
      </w:r>
      <w:r>
        <w:rPr>
          <w:rStyle w:val="614"/>
        </w:rPr>
        <w:t xml:space="preserve">основания</w:t>
      </w:r>
      <w:r>
        <w:rPr>
          <w:rStyle w:val="615"/>
          <w:b/>
          <w:bCs w:val="0"/>
        </w:rPr>
        <w:t xml:space="preserve"> обработки </w:t>
      </w:r>
      <w:r>
        <w:rPr>
          <w:rStyle w:val="615"/>
          <w:b/>
          <w:bCs w:val="0"/>
        </w:rPr>
        <w:t xml:space="preserve">ПДн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t xml:space="preserve">Оператор обрабатывает </w:t>
      </w:r>
      <w:r>
        <w:t xml:space="preserve">ПДн</w:t>
      </w:r>
      <w:r>
        <w:t xml:space="preserve"> в соответствии со следующими нормативными и правовыми актами: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rPr>
          <w:color w:val="000000"/>
        </w:rPr>
        <w:t xml:space="preserve">ст. 86-90 Трудового кодекса Российской Федерации</w:t>
      </w:r>
      <w:r>
        <w:t xml:space="preserve">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постановление Госкомстата РФ от 5 января 2004 г. № 1 «Об утверждении унифицированных форм первичной учетной документации по учету труда и его оплаты»; 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ст. 24 Налогового кодекса РФ; Федеральный закон от 29 декабря 2006 г. </w:t>
      </w:r>
      <w:r>
        <w:br/>
        <w:t xml:space="preserve">№ 255-ФЗ «Об обязательном социальном страховании на случай временной нетрудоспособности и в связи с материнством»; 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ст. 4 Федерального закона от 28 Марта 1998 г. № 53-ФЗ «О воинской обязанности и военной службе»; 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Федеральный закон от 15 декабря 2001 г. № 167-ФЗ «Об обязательном пенсионном страховании в Российской Федерации»; 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Федеральный закон от 29 ноября 2010 г. № 326-ФЗ «Об обязательном медицинском страховании в Российской Федерации»;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Устав Оператора.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Коммерческий договор</w:t>
      </w:r>
      <w:r>
        <w:rPr>
          <w:lang w:val="en-US"/>
        </w:rPr>
        <w:t xml:space="preserve">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Согласие на обработку персональных данных.</w:t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  <w:rPr>
          <w:rStyle w:val="615"/>
          <w:b/>
          <w:bCs w:val="0"/>
        </w:rPr>
      </w:pPr>
      <w:r>
        <w:rPr>
          <w:rStyle w:val="615"/>
          <w:b/>
          <w:bCs w:val="0"/>
        </w:rPr>
        <w:t xml:space="preserve">Категории </w:t>
      </w:r>
      <w:r>
        <w:t xml:space="preserve">субъектов </w:t>
      </w:r>
      <w:r>
        <w:t xml:space="preserve">ПДн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Оператор осуществляет обработку следующих категорий </w:t>
      </w:r>
      <w:r>
        <w:t xml:space="preserve">ПДн</w:t>
      </w:r>
      <w:r>
        <w:t xml:space="preserve">:</w:t>
      </w:r>
      <w:r/>
    </w:p>
    <w:p>
      <w:pPr>
        <w:ind w:left="360" w:firstLine="349"/>
        <w:jc w:val="both"/>
        <w:spacing w:line="276" w:lineRule="auto"/>
        <w:tabs>
          <w:tab w:val="left" w:pos="851" w:leader="none"/>
        </w:tabs>
      </w:pPr>
      <w:r>
        <w:t xml:space="preserve">– физические лица, состоящие с Обществом в трудовых отношениях;</w:t>
      </w:r>
      <w:r/>
    </w:p>
    <w:p>
      <w:pPr>
        <w:ind w:left="360" w:firstLine="349"/>
        <w:jc w:val="both"/>
        <w:spacing w:line="276" w:lineRule="auto"/>
        <w:tabs>
          <w:tab w:val="left" w:pos="851" w:leader="none"/>
        </w:tabs>
      </w:pPr>
      <w:r>
        <w:t xml:space="preserve">– физические лица, уволившиеся из Общества;</w:t>
      </w:r>
      <w:r/>
    </w:p>
    <w:p>
      <w:pPr>
        <w:ind w:left="360" w:firstLine="349"/>
        <w:jc w:val="both"/>
        <w:spacing w:line="276" w:lineRule="auto"/>
        <w:tabs>
          <w:tab w:val="left" w:pos="851" w:leader="none"/>
        </w:tabs>
      </w:pPr>
      <w:r>
        <w:t xml:space="preserve">– физические лица – соискатели на замещение вакантных должностей;</w:t>
      </w:r>
      <w:r/>
    </w:p>
    <w:p>
      <w:pPr>
        <w:ind w:left="360" w:firstLine="349"/>
        <w:jc w:val="both"/>
        <w:spacing w:line="276" w:lineRule="auto"/>
        <w:tabs>
          <w:tab w:val="left" w:pos="851" w:leader="none"/>
        </w:tabs>
      </w:pPr>
      <w:r>
        <w:t xml:space="preserve">– родственники работников Общества;</w:t>
      </w:r>
      <w:r/>
    </w:p>
    <w:p>
      <w:pPr>
        <w:ind w:left="360" w:firstLine="349"/>
        <w:jc w:val="both"/>
        <w:spacing w:line="276" w:lineRule="auto"/>
        <w:tabs>
          <w:tab w:val="left" w:pos="851" w:leader="none"/>
        </w:tabs>
      </w:pPr>
      <w:r>
        <w:t xml:space="preserve">– физические лица, состоящие с Обществом в гражданско-правовых отношениях;</w:t>
      </w:r>
      <w:r/>
    </w:p>
    <w:p>
      <w:pPr>
        <w:ind w:left="360" w:firstLine="349"/>
        <w:jc w:val="both"/>
        <w:spacing w:line="276" w:lineRule="auto"/>
        <w:tabs>
          <w:tab w:val="left" w:pos="851" w:leader="none"/>
        </w:tabs>
      </w:pPr>
      <w:r>
        <w:t xml:space="preserve">– представители контрагентов Общества;</w:t>
      </w:r>
      <w:r/>
    </w:p>
    <w:p>
      <w:pPr>
        <w:ind w:left="360" w:firstLine="349"/>
        <w:jc w:val="both"/>
        <w:spacing w:line="276" w:lineRule="auto"/>
        <w:tabs>
          <w:tab w:val="left" w:pos="851" w:leader="none"/>
        </w:tabs>
      </w:pPr>
      <w:r>
        <w:t xml:space="preserve">– представители партнеров Общества;</w:t>
      </w:r>
      <w:r/>
    </w:p>
    <w:p>
      <w:pPr>
        <w:ind w:left="360" w:firstLine="349"/>
        <w:jc w:val="both"/>
        <w:spacing w:line="276" w:lineRule="auto"/>
        <w:tabs>
          <w:tab w:val="left" w:pos="1134" w:leader="none"/>
        </w:tabs>
      </w:pPr>
      <w:r>
        <w:t xml:space="preserve">– физические лица, являющиеся Пользователями Сайта.</w:t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</w:pPr>
      <w:r/>
      <w:bookmarkStart w:id="4" w:name="_Toc352150357"/>
      <w:r>
        <w:t xml:space="preserve">Персональные данные, обрабатываемые Оператором</w:t>
      </w:r>
      <w:r/>
    </w:p>
    <w:p>
      <w:pPr>
        <w:ind w:firstLine="709"/>
        <w:jc w:val="both"/>
        <w:spacing w:line="276" w:lineRule="auto"/>
        <w:tabs>
          <w:tab w:val="left" w:pos="851" w:leader="none"/>
        </w:tabs>
      </w:pPr>
      <w:r>
        <w:t xml:space="preserve">Оператором обрабатываются следующие </w:t>
      </w:r>
      <w:r>
        <w:t xml:space="preserve">ПДн</w:t>
      </w:r>
      <w:r>
        <w:t xml:space="preserve">:</w:t>
      </w:r>
      <w:r/>
    </w:p>
    <w:p>
      <w:pPr>
        <w:ind w:firstLine="709"/>
        <w:jc w:val="both"/>
        <w:spacing w:line="276" w:lineRule="auto"/>
        <w:tabs>
          <w:tab w:val="left" w:pos="851" w:leader="none"/>
        </w:tabs>
      </w:pPr>
      <w:r>
        <w:t xml:space="preserve">данные паспорта или иного документа, удостоверяющего личность: серия, номер, сведения о дате и подразделен</w:t>
      </w:r>
      <w:r>
        <w:t xml:space="preserve">ии выдачи; пол; гражданство; данные миграционной карты (для иностранных граждан и лиц без гражданства; данные документа, подтверждающего право иностранного гражданина или лица без гражданства на пребывание (проживание) в Российской Федерации; адрес места ж</w:t>
      </w:r>
      <w:r>
        <w:t xml:space="preserve">ительства/регистрации, адрес места пребывания, почтовый адрес; номера контактных телефонов; адреса электронной почты; сведения об аккаунтах в социальных сетях; сведения об интересах, сведения о деловых и иных личных качествах, носящих оценочный характер;  </w:t>
      </w:r>
      <w:r/>
    </w:p>
    <w:p>
      <w:pPr>
        <w:ind w:firstLine="709"/>
        <w:jc w:val="both"/>
        <w:spacing w:line="276" w:lineRule="auto"/>
        <w:tabs>
          <w:tab w:val="left" w:pos="851" w:leader="none"/>
        </w:tabs>
      </w:pPr>
      <w:r>
        <w:t xml:space="preserve">сведения об образовании (наименование учебного заведения, номер диплома, специальность по диплом</w:t>
      </w:r>
      <w:r>
        <w:t xml:space="preserve">у, квалификация по диплому); номер сертификата о прохождении обучения; данные трудовой книжки: профессия, специальность, сведения о работе, место работы, должность, сведения о награждениях; номер свидетельства обязательного пенсионного страхования (СНИЛС);</w:t>
      </w:r>
      <w:r/>
    </w:p>
    <w:p>
      <w:pPr>
        <w:ind w:firstLine="709"/>
        <w:jc w:val="both"/>
        <w:spacing w:line="276" w:lineRule="auto"/>
        <w:tabs>
          <w:tab w:val="left" w:pos="851" w:leader="none"/>
        </w:tabs>
      </w:pPr>
      <w:r>
        <w:t xml:space="preserve">сведения о семейном положении; данные копии свидетельства о заключении брака: гражданство, дата рождения, место рождения, дата выдачи свидетельства, реквизиты свидетельства;</w:t>
      </w:r>
      <w:r/>
    </w:p>
    <w:p>
      <w:pPr>
        <w:ind w:firstLine="709"/>
        <w:jc w:val="both"/>
        <w:spacing w:line="276" w:lineRule="auto"/>
        <w:tabs>
          <w:tab w:val="left" w:pos="851" w:leader="none"/>
        </w:tabs>
      </w:pPr>
      <w:r>
        <w:t xml:space="preserve">данные копии свидетельства о рождении: гражданство (родителей), дата рождения, дата выдачи свидетельства, реквизиты сви</w:t>
      </w:r>
      <w:r>
        <w:t xml:space="preserve">детельства; данные копии свидетельства о смерти: гражданство, дата рождения, дата смерти, дата выдачи свидетельства, реквизиты свидетельства; данные для выплаты алиментов: расчетный счет, адрес места проживания регистрации; номер контактного телефона; адре</w:t>
      </w:r>
      <w:r>
        <w:t xml:space="preserve">с электронной почты; табельный номер; данные об отпусках, социальных льготах; ИНН; банковские реквизиты; данные в трудовом договоре и в дополнительных соглашениях к нему: должность, размер заработной платы, график и условия работы; дополнительные сведения,</w:t>
      </w:r>
      <w:r>
        <w:t xml:space="preserve"> сведения об увольнении (расторжении трудового договора); специальность, другие данные в личном деле: данные заявлений и письменных объяснений, данные решений о поощрении и решений о наложении дисциплинарного взыскания, данные приказов и других документов;</w:t>
      </w:r>
      <w:r/>
    </w:p>
    <w:p>
      <w:pPr>
        <w:ind w:firstLine="709"/>
        <w:jc w:val="both"/>
        <w:spacing w:line="276" w:lineRule="auto"/>
        <w:tabs>
          <w:tab w:val="left" w:pos="851" w:leader="none"/>
        </w:tabs>
        <w:rPr>
          <w:rStyle w:val="615"/>
          <w:b w:val="0"/>
          <w:bCs w:val="0"/>
        </w:rPr>
      </w:pPr>
      <w:r>
        <w:t xml:space="preserve">данные, полученные от Пользователей Сайта: </w:t>
      </w:r>
      <w:r>
        <w:rPr>
          <w:color w:val="000000"/>
          <w:shd w:val="clear" w:color="auto" w:fill="ffffff"/>
        </w:rPr>
        <w:t xml:space="preserve">фамилия, имя, отчество, номер телефона.</w:t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  <w:rPr>
          <w:rStyle w:val="615"/>
          <w:b/>
          <w:bCs w:val="0"/>
        </w:rPr>
      </w:pPr>
      <w:r>
        <w:rPr>
          <w:rStyle w:val="615"/>
          <w:b/>
          <w:bCs w:val="0"/>
        </w:rPr>
        <w:t xml:space="preserve">Третьи лица, осуществляющие обработку </w:t>
      </w:r>
      <w:r>
        <w:rPr>
          <w:rStyle w:val="615"/>
          <w:b/>
          <w:bCs w:val="0"/>
        </w:rPr>
        <w:t xml:space="preserve">ПДн</w:t>
      </w:r>
      <w:r/>
    </w:p>
    <w:p>
      <w:pPr>
        <w:pStyle w:val="611"/>
        <w:numPr>
          <w:ilvl w:val="1"/>
          <w:numId w:val="4"/>
        </w:numPr>
        <w:ind w:left="0" w:firstLine="360"/>
        <w:jc w:val="both"/>
        <w:spacing w:after="120" w:line="276" w:lineRule="auto"/>
        <w:tabs>
          <w:tab w:val="left" w:pos="709" w:leader="none"/>
          <w:tab w:val="left" w:pos="851" w:leader="none"/>
          <w:tab w:val="clear" w:pos="1134" w:leader="none"/>
        </w:tabs>
        <w:rPr>
          <w:rStyle w:val="615"/>
          <w:bCs w:val="0"/>
        </w:rPr>
      </w:pPr>
      <w:r>
        <w:rPr>
          <w:rStyle w:val="615"/>
          <w:bCs w:val="0"/>
        </w:rPr>
        <w:t xml:space="preserve">В целях соблюдения законодательства Российской Федерации, для достижения целей обработки </w:t>
      </w:r>
      <w:r>
        <w:rPr>
          <w:rStyle w:val="615"/>
          <w:bCs w:val="0"/>
        </w:rPr>
        <w:t xml:space="preserve">ПДн</w:t>
      </w:r>
      <w:r>
        <w:rPr>
          <w:rStyle w:val="615"/>
          <w:bCs w:val="0"/>
        </w:rPr>
        <w:t xml:space="preserve">, а также в интересах и с согласия субъектов персональных данных Общество в своей деятельности предоставляет персональные данные следующим организациям:</w:t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b w:val="0"/>
        </w:rPr>
      </w:pPr>
      <w:r>
        <w:rPr>
          <w:b w:val="0"/>
        </w:rPr>
        <w:t xml:space="preserve">– Федеральная налоговая служба Российской Федерации;</w:t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b w:val="0"/>
        </w:rPr>
      </w:pPr>
      <w:r>
        <w:rPr>
          <w:b w:val="0"/>
        </w:rPr>
        <w:t xml:space="preserve">– Фонд социального страхования Российской Федерации;</w:t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b w:val="0"/>
        </w:rPr>
      </w:pPr>
      <w:r>
        <w:rPr>
          <w:b w:val="0"/>
        </w:rPr>
        <w:t xml:space="preserve">– Пенсионный Фонд Российской Федерации;</w:t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b w:val="0"/>
        </w:rPr>
      </w:pPr>
      <w:r>
        <w:rPr>
          <w:b w:val="0"/>
        </w:rPr>
        <w:t xml:space="preserve">– Страховые компании;</w:t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b w:val="0"/>
        </w:rPr>
      </w:pPr>
      <w:r>
        <w:rPr>
          <w:b w:val="0"/>
        </w:rPr>
        <w:t xml:space="preserve">– Кредитные организации; </w:t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b w:val="0"/>
        </w:rPr>
      </w:pPr>
      <w:r>
        <w:rPr>
          <w:b w:val="0"/>
        </w:rPr>
        <w:t xml:space="preserve">– Регулирующим и/или контролирующим органам государственной власти.</w:t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b w:val="0"/>
        </w:rPr>
      </w:pPr>
      <w:r>
        <w:rPr>
          <w:b w:val="0"/>
        </w:rPr>
      </w:r>
      <w:r/>
    </w:p>
    <w:p>
      <w:pPr>
        <w:pStyle w:val="611"/>
        <w:numPr>
          <w:ilvl w:val="0"/>
          <w:numId w:val="0"/>
        </w:numPr>
        <w:ind w:firstLine="851"/>
        <w:jc w:val="both"/>
        <w:spacing w:line="276" w:lineRule="auto"/>
        <w:tabs>
          <w:tab w:val="left" w:pos="709" w:leader="none"/>
        </w:tabs>
        <w:rPr>
          <w:rStyle w:val="615"/>
          <w:b/>
          <w:bCs w:val="0"/>
        </w:rPr>
      </w:pPr>
      <w:r>
        <w:rPr>
          <w:b/>
          <w:bCs w:val="0"/>
        </w:rPr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</w:pPr>
      <w:r>
        <w:rPr>
          <w:rStyle w:val="615"/>
          <w:b/>
          <w:bCs w:val="0"/>
        </w:rPr>
        <w:t xml:space="preserve">Порядок и условия обработки </w:t>
      </w:r>
      <w:bookmarkEnd w:id="4"/>
      <w:r>
        <w:rPr>
          <w:rStyle w:val="615"/>
          <w:b/>
          <w:bCs w:val="0"/>
        </w:rPr>
        <w:t xml:space="preserve">ПДн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Обработка </w:t>
      </w:r>
      <w:r>
        <w:t xml:space="preserve">ПДн</w:t>
      </w:r>
      <w:r>
        <w:t xml:space="preserve"> осуществляется на законной и справедливой основе.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Обработка </w:t>
      </w:r>
      <w:r>
        <w:t xml:space="preserve">ПДн</w:t>
      </w:r>
      <w:r>
        <w:t xml:space="preserve"> ограничивается достижением конкретных, заранее определённых и законных целей. Не допускается обработка </w:t>
      </w:r>
      <w:r>
        <w:t xml:space="preserve">ПДн</w:t>
      </w:r>
      <w:r>
        <w:t xml:space="preserve">, несовместимая с целями сбора </w:t>
      </w:r>
      <w:r>
        <w:t xml:space="preserve">ПДн</w:t>
      </w:r>
      <w:r>
        <w:t xml:space="preserve">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Не допускается объединение баз данных, содержащих </w:t>
      </w:r>
      <w:r>
        <w:t xml:space="preserve">ПДн</w:t>
      </w:r>
      <w:r>
        <w:t xml:space="preserve">, обработка которых осуществляется в целях, несовместимых между собой.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Обработке подлежат только </w:t>
      </w:r>
      <w:r>
        <w:t xml:space="preserve">ПДн</w:t>
      </w:r>
      <w:r>
        <w:t xml:space="preserve">, которые отвечают целям их обработки.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Содержание и объем обрабатываемых </w:t>
      </w:r>
      <w:r>
        <w:t xml:space="preserve">ПДн</w:t>
      </w:r>
      <w:r>
        <w:t xml:space="preserve"> соответствуют заявленным целям обработки и не являются избыточными по отношению к заявленным целям их обработки.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При обработке </w:t>
      </w:r>
      <w:r>
        <w:t xml:space="preserve">ПДн</w:t>
      </w:r>
      <w:r>
        <w:t xml:space="preserve"> обеспечивается точность </w:t>
      </w:r>
      <w:r>
        <w:t xml:space="preserve">ПДн</w:t>
      </w:r>
      <w:r>
        <w:t xml:space="preserve">, их достаточность, а в необходимых случаях и актуальность по отношению к целям обработки </w:t>
      </w:r>
      <w:r>
        <w:t xml:space="preserve">ПДн</w:t>
      </w:r>
      <w:r>
        <w:t xml:space="preserve">. Принимаются необходимые меры по удалению или уточнению неполных, или неточных данных.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В целях информационного обеспечения Оператора могут создаваться общедоступные источники </w:t>
      </w:r>
      <w:r>
        <w:t xml:space="preserve">ПДн</w:t>
      </w:r>
      <w:r>
        <w:t xml:space="preserve"> Оператора (в том числе справочники, электронные базы данных, страницы Сайта Оператора в информационно-телекоммуникационной сети «Интернет»). В общедоступные источники </w:t>
      </w:r>
      <w:r>
        <w:t xml:space="preserve">ПДн</w:t>
      </w:r>
      <w:r>
        <w:t xml:space="preserve"> могут включаться только </w:t>
      </w:r>
      <w:r>
        <w:t xml:space="preserve">ПДн</w:t>
      </w:r>
      <w:r>
        <w:t xml:space="preserve"> указанные субъектом </w:t>
      </w:r>
      <w:r>
        <w:t xml:space="preserve">ПДн</w:t>
      </w:r>
      <w:r>
        <w:t xml:space="preserve"> в письменном согласии на включение его </w:t>
      </w:r>
      <w:r>
        <w:t xml:space="preserve">ПДн</w:t>
      </w:r>
      <w:r>
        <w:t xml:space="preserve"> в общедоступные источники.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Хранение </w:t>
      </w:r>
      <w:r>
        <w:t xml:space="preserve">ПДн</w:t>
      </w:r>
      <w:r>
        <w:t xml:space="preserve"> осуществляется в форме, позволяющей определить субъекта </w:t>
      </w:r>
      <w:r>
        <w:t xml:space="preserve">ПДн</w:t>
      </w:r>
      <w:r>
        <w:t xml:space="preserve">, не дольше, чем этого требуют цели обработки </w:t>
      </w:r>
      <w:r>
        <w:t xml:space="preserve">ПДн</w:t>
      </w:r>
      <w:r>
        <w:t xml:space="preserve">, если срок хранения </w:t>
      </w:r>
      <w:r>
        <w:t xml:space="preserve">ПДн</w:t>
      </w:r>
      <w: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t xml:space="preserve">ПДн</w:t>
      </w:r>
      <w:r>
        <w:t xml:space="preserve">. Обрабатываемые </w:t>
      </w:r>
      <w:r>
        <w:t xml:space="preserve">ПДн</w:t>
      </w:r>
      <w: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  <w:r/>
    </w:p>
    <w:p>
      <w:pPr>
        <w:jc w:val="both"/>
        <w:spacing w:line="276" w:lineRule="auto"/>
        <w:tabs>
          <w:tab w:val="left" w:pos="1134" w:leader="none"/>
        </w:tabs>
      </w:pPr>
      <w:r/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  <w:rPr>
          <w:rStyle w:val="615"/>
          <w:b/>
          <w:bCs w:val="0"/>
        </w:rPr>
      </w:pPr>
      <w:r>
        <w:rPr>
          <w:rStyle w:val="615"/>
          <w:b/>
          <w:bCs w:val="0"/>
        </w:rPr>
        <w:t xml:space="preserve">Условия и </w:t>
      </w:r>
      <w:r>
        <w:rPr>
          <w:rStyle w:val="614"/>
        </w:rPr>
        <w:t xml:space="preserve">сроки</w:t>
      </w:r>
      <w:r>
        <w:rPr>
          <w:rStyle w:val="615"/>
          <w:b/>
          <w:bCs w:val="0"/>
        </w:rPr>
        <w:t xml:space="preserve"> прекращения обработки персональных данных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Оператор прекращает обработку </w:t>
      </w:r>
      <w:r>
        <w:t xml:space="preserve">ПДн</w:t>
      </w:r>
      <w:r>
        <w:t xml:space="preserve"> в следующих случаях: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достижение целей обработки </w:t>
      </w:r>
      <w:r>
        <w:t xml:space="preserve">ПДн</w:t>
      </w:r>
      <w:r>
        <w:t xml:space="preserve"> или максимальных сроков хранения – в течение 30 дней;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утрата необходимости в достижении целей обработки </w:t>
      </w:r>
      <w:r>
        <w:t xml:space="preserve">ПДн</w:t>
      </w:r>
      <w:r>
        <w:t xml:space="preserve"> – в течение 30 дней;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предоставление субъектом </w:t>
      </w:r>
      <w:r>
        <w:t xml:space="preserve">ПДн</w:t>
      </w:r>
      <w:r>
        <w:t xml:space="preserve"> или его законным представителем сведений, подтверждающих, что </w:t>
      </w:r>
      <w:r>
        <w:t xml:space="preserve">ПДн</w:t>
      </w:r>
      <w:r>
        <w:t xml:space="preserve"> являются незаконно полученными или не являются необходимыми для заявленной цели обработки – в течение 7 дней;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невозможность обеспечения правомерности обработки </w:t>
      </w:r>
      <w:r>
        <w:t xml:space="preserve">ПДн</w:t>
      </w:r>
      <w:r>
        <w:t xml:space="preserve"> – в течение </w:t>
      </w:r>
      <w:r>
        <w:br/>
        <w:t xml:space="preserve">10 дней;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отзыв субъектом </w:t>
      </w:r>
      <w:r>
        <w:t xml:space="preserve">ПДн</w:t>
      </w:r>
      <w:r>
        <w:t xml:space="preserve"> согласия на обработку </w:t>
      </w:r>
      <w:r>
        <w:t xml:space="preserve">ПДн</w:t>
      </w:r>
      <w:r>
        <w:t xml:space="preserve">, если сохранение </w:t>
      </w:r>
      <w:r>
        <w:t xml:space="preserve">ПДн</w:t>
      </w:r>
      <w:r>
        <w:t xml:space="preserve"> более не требуется для целей обработки </w:t>
      </w:r>
      <w:r>
        <w:t xml:space="preserve">ПДн</w:t>
      </w:r>
      <w:r>
        <w:t xml:space="preserve"> – в течение 30 дней;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истечение сроков исковой давности для правоотношений, в рамках которых осуществляется либо осуществлялась обработка </w:t>
      </w:r>
      <w:r>
        <w:t xml:space="preserve">ПДн</w:t>
      </w:r>
      <w:r>
        <w:t xml:space="preserve">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В соответствии со статьей 21, частью 5 Федерального закона от 27 июля 2006 г. № 152-ФЗ «О персональных данных» Оператор не прекращает обработку персональных данных Субъекта и не уничтожает их в следующих случаях: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иное предусмотрено договором, стороной которого, выгодоприобретателем или </w:t>
      </w:r>
      <w:r>
        <w:t xml:space="preserve">поручителем</w:t>
      </w:r>
      <w:r>
        <w:t xml:space="preserve"> по которому является Субъект;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Оператор вправе осуществлять обработку персональных данных без согласия Субъекта на основаниях, предусмотренных федеральными законами;</w:t>
      </w:r>
      <w:r/>
    </w:p>
    <w:p>
      <w:pPr>
        <w:numPr>
          <w:ilvl w:val="0"/>
          <w:numId w:val="2"/>
        </w:numPr>
        <w:ind w:left="1134" w:hanging="425"/>
        <w:jc w:val="both"/>
        <w:spacing w:line="276" w:lineRule="auto"/>
        <w:tabs>
          <w:tab w:val="left" w:pos="1134" w:leader="none"/>
        </w:tabs>
      </w:pPr>
      <w:r>
        <w:t xml:space="preserve">не истекли сроки обработки персональных данных Субъекта, установленные федеральными законами РФ и иными нормативными актами.</w:t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</w:pPr>
      <w:r/>
      <w:bookmarkStart w:id="5" w:name="_Toc352150360"/>
      <w:r>
        <w:t xml:space="preserve">Меры </w:t>
      </w:r>
      <w:r>
        <w:rPr>
          <w:rStyle w:val="614"/>
        </w:rPr>
        <w:t xml:space="preserve">обеспечения</w:t>
      </w:r>
      <w:r>
        <w:t xml:space="preserve"> безопасности </w:t>
      </w:r>
      <w:bookmarkEnd w:id="5"/>
      <w:r>
        <w:t xml:space="preserve">ПДн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Безопасность </w:t>
      </w:r>
      <w:r>
        <w:t xml:space="preserve">ПДн</w:t>
      </w:r>
      <w:r>
        <w:t xml:space="preserve">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в области защиты </w:t>
      </w:r>
      <w:r>
        <w:t xml:space="preserve">ПДн</w:t>
      </w:r>
      <w:r>
        <w:t xml:space="preserve">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Оператор предпринимает необходимые организационные и технические меры для обеспечения безопасности </w:t>
      </w:r>
      <w:r>
        <w:t xml:space="preserve">ПДн</w:t>
      </w:r>
      <w:r>
        <w:t xml:space="preserve"> от случайного или несанкционированного доступа, уничтожения, изменения, блокирования доступа и других несанкционированных действий.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t xml:space="preserve">Оператор</w:t>
      </w:r>
      <w:r>
        <w:rPr>
          <w:rStyle w:val="614"/>
        </w:rPr>
        <w:t xml:space="preserve"> предпринимает следующие организационно-технические меры: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назначение должностных лиц, ответственных за организацию обработки и обеспечении безопасности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ограничение и регламентация состава работников Оператора, имеющих доступ к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ознакомление работников Оператора с требованиями федерального законодательства и локальных нормативных актов по обработке и защите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обеспечение учёта и хранения материальных носителей </w:t>
      </w:r>
      <w:r>
        <w:rPr>
          <w:rStyle w:val="614"/>
        </w:rPr>
        <w:t xml:space="preserve">ПДн</w:t>
      </w:r>
      <w:r>
        <w:rPr>
          <w:rStyle w:val="614"/>
        </w:rPr>
        <w:t xml:space="preserve"> и их обращения, исключающего хищение, подмену, несанкционированное копирование и уничтожение;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определение угроз безопасности </w:t>
      </w:r>
      <w:r>
        <w:rPr>
          <w:rStyle w:val="614"/>
        </w:rPr>
        <w:t xml:space="preserve">ПДн</w:t>
      </w:r>
      <w:r>
        <w:rPr>
          <w:rStyle w:val="614"/>
        </w:rPr>
        <w:t xml:space="preserve"> при их обработке в информационных системах персональных данных (далее – </w:t>
      </w:r>
      <w:r>
        <w:rPr>
          <w:rStyle w:val="614"/>
        </w:rPr>
        <w:t xml:space="preserve">ИСПДн</w:t>
      </w:r>
      <w:r>
        <w:rPr>
          <w:rStyle w:val="614"/>
        </w:rPr>
        <w:t xml:space="preserve">), формирование на их основе моделей угроз;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разработка на основе модели угроз системы защиты </w:t>
      </w:r>
      <w:r>
        <w:rPr>
          <w:rStyle w:val="614"/>
        </w:rPr>
        <w:t xml:space="preserve">ПДн</w:t>
      </w:r>
      <w:r>
        <w:rPr>
          <w:rStyle w:val="614"/>
        </w:rPr>
        <w:t xml:space="preserve"> для соответствующего уровня защищенности </w:t>
      </w:r>
      <w:r>
        <w:rPr>
          <w:rStyle w:val="614"/>
        </w:rPr>
        <w:t xml:space="preserve">ПДн</w:t>
      </w:r>
      <w:r>
        <w:rPr>
          <w:rStyle w:val="614"/>
        </w:rPr>
        <w:t xml:space="preserve"> при их обработке в </w:t>
      </w:r>
      <w:r>
        <w:rPr>
          <w:rStyle w:val="614"/>
        </w:rPr>
        <w:t xml:space="preserve">ИСПДн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проверка готовности и эффективности использования средств защиты информации; 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реализация разрешительной системы доступа пользователей </w:t>
      </w:r>
      <w:r>
        <w:rPr>
          <w:rStyle w:val="614"/>
        </w:rPr>
        <w:t xml:space="preserve">ИСПДн</w:t>
      </w:r>
      <w:r>
        <w:rPr>
          <w:rStyle w:val="614"/>
        </w:rPr>
        <w:t xml:space="preserve"> к информационным ресурсам, программно-аппаратным средствам обработки и защиты информации;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регистрация и учёт действий пользователей </w:t>
      </w:r>
      <w:r>
        <w:rPr>
          <w:rStyle w:val="614"/>
        </w:rPr>
        <w:t xml:space="preserve">ИСПДн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парольная защита доступа пользователей к </w:t>
      </w:r>
      <w:r>
        <w:rPr>
          <w:rStyle w:val="614"/>
        </w:rPr>
        <w:t xml:space="preserve">ИСПДн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применение в необходимых случаях средств криптографической защиты информации для обеспечения безопасности </w:t>
      </w:r>
      <w:r>
        <w:rPr>
          <w:rStyle w:val="614"/>
        </w:rPr>
        <w:t xml:space="preserve">ПДн</w:t>
      </w:r>
      <w:r>
        <w:rPr>
          <w:rStyle w:val="614"/>
        </w:rPr>
        <w:t xml:space="preserve"> при передаче по открытым каналам связи и хранении на съемных машинных носителях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применение в необходимых случаях средств межсетевого экранирования;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применение в необходимых случаях средств обнаружения вторжений в корпоративную сеть, нарушающих или создающих предпосылки к нарушению установленных требований по обеспечению безопасности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обучение работников Оператора, использующих средства защиты информации, применяемые в </w:t>
      </w:r>
      <w:r>
        <w:rPr>
          <w:rStyle w:val="614"/>
        </w:rPr>
        <w:t xml:space="preserve">ИСПДн</w:t>
      </w:r>
      <w:r>
        <w:rPr>
          <w:rStyle w:val="614"/>
        </w:rPr>
        <w:t xml:space="preserve">, правилам работы с ними;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учёт применяемых средств защиты информации, эксплуатационной и технической документации к ним;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использование в необходимых случаях средств защиты информации, прошедших в установленном порядке процедуру оценки соответствия;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проведение мониторинга действий пользователей </w:t>
      </w:r>
      <w:r>
        <w:rPr>
          <w:rStyle w:val="614"/>
        </w:rPr>
        <w:t xml:space="preserve">ИСПДн</w:t>
      </w:r>
      <w:r>
        <w:rPr>
          <w:rStyle w:val="614"/>
        </w:rPr>
        <w:t xml:space="preserve">, проведение разбирательств по фактам нарушения требований безопасности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размещение технических средств обработки </w:t>
      </w:r>
      <w:r>
        <w:rPr>
          <w:rStyle w:val="614"/>
        </w:rPr>
        <w:t xml:space="preserve">ПДн</w:t>
      </w:r>
      <w:r>
        <w:rPr>
          <w:rStyle w:val="614"/>
        </w:rPr>
        <w:t xml:space="preserve">, в пределах охраняемой территории;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поддержание технических средств охраны, сигнализации помещений в состоянии постоянной готовности.</w:t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  <w:rPr>
          <w:rStyle w:val="614"/>
        </w:rPr>
      </w:pPr>
      <w:r>
        <w:rPr>
          <w:rStyle w:val="614"/>
        </w:rPr>
        <w:t xml:space="preserve">Права субъектов персональных данных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t xml:space="preserve">Субъект</w:t>
      </w:r>
      <w:r>
        <w:rPr>
          <w:rStyle w:val="614"/>
        </w:rPr>
        <w:t xml:space="preserve"> </w:t>
      </w:r>
      <w:r>
        <w:rPr>
          <w:rStyle w:val="614"/>
        </w:rPr>
        <w:t xml:space="preserve">ПДн</w:t>
      </w:r>
      <w:r>
        <w:rPr>
          <w:rStyle w:val="614"/>
        </w:rPr>
        <w:t xml:space="preserve"> имеет право на получение информации, касающейся обработки его </w:t>
      </w:r>
      <w:r>
        <w:rPr>
          <w:rStyle w:val="614"/>
        </w:rPr>
        <w:t xml:space="preserve">ПДн</w:t>
      </w:r>
      <w:r>
        <w:rPr>
          <w:rStyle w:val="614"/>
        </w:rPr>
        <w:t xml:space="preserve">, в том числе содержащей: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подтверждение факта обработки </w:t>
      </w:r>
      <w:r>
        <w:rPr>
          <w:rStyle w:val="614"/>
        </w:rPr>
        <w:t xml:space="preserve">ПДн</w:t>
      </w:r>
      <w:r>
        <w:rPr>
          <w:rStyle w:val="614"/>
        </w:rPr>
        <w:t xml:space="preserve"> Оператором;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правовые основания и цели обработки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цели и применяемые Оператором способы обработки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>
        <w:rPr>
          <w:rStyle w:val="614"/>
        </w:rPr>
        <w:t xml:space="preserve">ПДн</w:t>
      </w:r>
      <w:r>
        <w:rPr>
          <w:rStyle w:val="614"/>
        </w:rPr>
        <w:t xml:space="preserve"> или которым могут быть раскрыты </w:t>
      </w:r>
      <w:r>
        <w:rPr>
          <w:rStyle w:val="614"/>
        </w:rPr>
        <w:t xml:space="preserve">ПДн</w:t>
      </w:r>
      <w:r>
        <w:rPr>
          <w:rStyle w:val="614"/>
        </w:rPr>
        <w:t xml:space="preserve"> на основании договора с Оператором или на основании федерального закона;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обрабатываемые </w:t>
      </w:r>
      <w:r>
        <w:rPr>
          <w:rStyle w:val="614"/>
        </w:rPr>
        <w:t xml:space="preserve">ПДн</w:t>
      </w:r>
      <w:r>
        <w:rPr>
          <w:rStyle w:val="614"/>
        </w:rPr>
        <w:t xml:space="preserve">, относящиеся к соответствующему субъекту </w:t>
      </w:r>
      <w:r>
        <w:rPr>
          <w:rStyle w:val="614"/>
        </w:rPr>
        <w:t xml:space="preserve">ПДн</w:t>
      </w:r>
      <w:r>
        <w:rPr>
          <w:rStyle w:val="614"/>
        </w:rPr>
        <w:t xml:space="preserve">, источник их получения, если иной порядок представления таких данных не предусмотрен федеральным законом;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сроки обработки </w:t>
      </w:r>
      <w:r>
        <w:rPr>
          <w:rStyle w:val="614"/>
        </w:rPr>
        <w:t xml:space="preserve">ПДн</w:t>
      </w:r>
      <w:r>
        <w:rPr>
          <w:rStyle w:val="614"/>
        </w:rPr>
        <w:t xml:space="preserve">, в том числе сроки их хранения;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порядок осуществления субъектом </w:t>
      </w:r>
      <w:r>
        <w:rPr>
          <w:rStyle w:val="614"/>
        </w:rPr>
        <w:t xml:space="preserve">ПДн</w:t>
      </w:r>
      <w:r>
        <w:rPr>
          <w:rStyle w:val="614"/>
        </w:rPr>
        <w:t xml:space="preserve"> прав, предусмотренных Федеральным законом «О персональных данных»;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информацию об осуществленной или о предполагаемой трансграничной передаче </w:t>
      </w:r>
      <w:r>
        <w:rPr>
          <w:rStyle w:val="614"/>
        </w:rPr>
        <w:t xml:space="preserve">ПДн</w:t>
      </w:r>
      <w:r>
        <w:rPr>
          <w:rStyle w:val="614"/>
        </w:rPr>
        <w:t xml:space="preserve">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наименование или фамилию, имя, отчество и адрес лица, осуществляющего обработку </w:t>
      </w:r>
      <w:r>
        <w:rPr>
          <w:rStyle w:val="614"/>
        </w:rPr>
        <w:t xml:space="preserve">ПДн</w:t>
      </w:r>
      <w:r>
        <w:rPr>
          <w:rStyle w:val="614"/>
        </w:rPr>
        <w:t xml:space="preserve"> по поручению Оператора, если обработка поручена или будет поручена такому лицу;</w:t>
      </w:r>
      <w:r/>
    </w:p>
    <w:p>
      <w:pPr>
        <w:numPr>
          <w:ilvl w:val="0"/>
          <w:numId w:val="3"/>
        </w:numPr>
        <w:ind w:left="1134" w:hanging="425"/>
        <w:jc w:val="both"/>
        <w:spacing w:line="276" w:lineRule="auto"/>
        <w:tabs>
          <w:tab w:val="left" w:pos="1134" w:leader="none"/>
        </w:tabs>
        <w:rPr>
          <w:rStyle w:val="614"/>
        </w:rPr>
      </w:pPr>
      <w:r>
        <w:rPr>
          <w:rStyle w:val="614"/>
        </w:rPr>
        <w:t xml:space="preserve">иные сведения, предусмотренные Федеральным законом «О персональных данных» или другими федеральными законами.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Субъект </w:t>
      </w:r>
      <w:r>
        <w:t xml:space="preserve">ПДн</w:t>
      </w:r>
      <w:r>
        <w:t xml:space="preserve"> вправе требовать от Оператора уточнения его </w:t>
      </w:r>
      <w:r>
        <w:t xml:space="preserve">ПДн</w:t>
      </w:r>
      <w:r>
        <w:t xml:space="preserve">, их блокирования или уничтожения в случае, если </w:t>
      </w:r>
      <w:r>
        <w:t xml:space="preserve">ПДн</w:t>
      </w:r>
      <w:r>
        <w:t xml:space="preserve"> являются неполными, устаревшими, </w:t>
      </w:r>
      <w:r>
        <w:t xml:space="preserve"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Если субъект </w:t>
      </w:r>
      <w:r>
        <w:t xml:space="preserve">ПДн</w:t>
      </w:r>
      <w:r>
        <w:t xml:space="preserve"> считает, что Оператор осуществляет обработку его </w:t>
      </w:r>
      <w:r>
        <w:t xml:space="preserve">ПДн</w:t>
      </w:r>
      <w:r>
        <w:t xml:space="preserve"> с нарушением требований Федерального закона «О персональных данных» или иным образом нарушает его права и свободы, субъект </w:t>
      </w:r>
      <w:r>
        <w:t xml:space="preserve">ПДн</w:t>
      </w:r>
      <w:r>
        <w:t xml:space="preserve"> вправе обжаловать действия или бездействие Оператора в вышестоящий орган по защите прав субъектов </w:t>
      </w:r>
      <w:r>
        <w:t xml:space="preserve">ПДн</w:t>
      </w:r>
      <w:r>
        <w:t xml:space="preserve"> (Федеральная служба по надзору в сфере связи, информационных технологий и массовых коммуникаций – </w:t>
      </w:r>
      <w:r>
        <w:t xml:space="preserve">Роскомнадзор</w:t>
      </w:r>
      <w:r>
        <w:t xml:space="preserve">) или в судебном порядке.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Субъект </w:t>
      </w:r>
      <w:r>
        <w:t xml:space="preserve">ПДн</w:t>
      </w:r>
      <w: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/>
    </w:p>
    <w:p>
      <w:pPr>
        <w:pStyle w:val="611"/>
        <w:numPr>
          <w:ilvl w:val="0"/>
          <w:numId w:val="4"/>
        </w:numPr>
        <w:jc w:val="center"/>
        <w:spacing w:after="120" w:line="276" w:lineRule="auto"/>
        <w:tabs>
          <w:tab w:val="left" w:pos="426" w:leader="none"/>
          <w:tab w:val="clear" w:pos="1134" w:leader="none"/>
        </w:tabs>
      </w:pPr>
      <w:r/>
      <w:bookmarkStart w:id="6" w:name="_Toc352150361"/>
      <w:r>
        <w:rPr>
          <w:rStyle w:val="614"/>
        </w:rPr>
        <w:t xml:space="preserve">Заключительные</w:t>
      </w:r>
      <w:r>
        <w:t xml:space="preserve"> положения</w:t>
      </w:r>
      <w:bookmarkEnd w:id="6"/>
      <w:r/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Контроль исполнения требований настоящей Политики осуществляется ответственным за организацию обработки </w:t>
      </w:r>
      <w:r>
        <w:t xml:space="preserve">ПДн</w:t>
      </w:r>
      <w:r>
        <w:t xml:space="preserve">.</w:t>
      </w:r>
      <w:r/>
    </w:p>
    <w:p>
      <w:pPr>
        <w:numPr>
          <w:ilvl w:val="1"/>
          <w:numId w:val="4"/>
        </w:numPr>
        <w:ind w:left="0" w:firstLine="709"/>
        <w:jc w:val="both"/>
        <w:spacing w:line="276" w:lineRule="auto"/>
        <w:tabs>
          <w:tab w:val="left" w:pos="1134" w:leader="none"/>
        </w:tabs>
      </w:pPr>
      <w:r>
        <w:t xml:space="preserve">Иные права и обязанности Оператора, определяются Федеральным законом «О персональных данных» и иными нормативными правовыми актами в области защиты </w:t>
      </w:r>
      <w:r>
        <w:t xml:space="preserve">ПДн</w:t>
      </w:r>
      <w:r>
        <w:t xml:space="preserve">.</w:t>
      </w:r>
      <w:r/>
    </w:p>
    <w:p>
      <w:r>
        <w:t xml:space="preserve">Должностные лица</w:t>
      </w:r>
      <w:r>
        <w:rPr>
          <w:rStyle w:val="614"/>
        </w:rPr>
        <w:t xml:space="preserve">, виновные в нарушении норм, регулирующих обработку и защиту </w:t>
      </w:r>
      <w:r>
        <w:rPr>
          <w:rStyle w:val="614"/>
        </w:rPr>
        <w:t xml:space="preserve">ПДн</w:t>
      </w:r>
      <w:r>
        <w:rPr>
          <w:rStyle w:val="614"/>
        </w:rPr>
        <w:t xml:space="preserve">, несут материальную, дисциплинарную, административную, гражданско-правовую или уголовную ответственность в порядке, уста</w:t>
      </w:r>
      <w:r>
        <w:rPr>
          <w:rStyle w:val="614"/>
        </w:rPr>
        <w:t xml:space="preserve">новленном федеральными законами Российской Федерации.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pStyle w:val="611"/>
      <w:isLgl w:val="false"/>
      <w:suff w:val="tab"/>
      <w:lvlText w:val="%1."/>
      <w:lvlJc w:val="left"/>
      <w:pPr>
        <w:ind w:left="1353" w:hanging="360"/>
      </w:pPr>
      <w:rPr>
        <w:rFonts w:cs="Times New Roman" w:hint="default"/>
        <w:sz w:val="24"/>
      </w:rPr>
    </w:lvl>
    <w:lvl w:ilvl="1">
      <w:start w:val="1"/>
      <w:numFmt w:val="decimal"/>
      <w:isLgl w:val="false"/>
      <w:suff w:val="tab"/>
      <w:lvlText w:val="9.%2."/>
      <w:lvlJc w:val="center"/>
      <w:pPr>
        <w:ind w:left="2277" w:hanging="432"/>
      </w:pPr>
      <w:rPr>
        <w:rFonts w:hint="default"/>
      </w:rPr>
    </w:lvl>
    <w:lvl w:ilvl="2">
      <w:start w:val="1"/>
      <w:numFmt w:val="decimal"/>
      <w:pStyle w:val="613"/>
      <w:isLgl w:val="false"/>
      <w:suff w:val="tab"/>
      <w:lvlText w:val="%1.%2.%3."/>
      <w:lvlJc w:val="left"/>
      <w:pPr>
        <w:ind w:left="2217" w:hanging="504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>
    <w:name w:val="Hyperlink"/>
    <w:rPr>
      <w:color w:val="0000FF"/>
      <w:u w:val="single"/>
    </w:rPr>
  </w:style>
  <w:style w:type="paragraph" w:styleId="611" w:customStyle="1">
    <w:name w:val="X"/>
    <w:basedOn w:val="606"/>
    <w:link w:val="612"/>
    <w:qFormat/>
    <w:pPr>
      <w:numPr>
        <w:numId w:val="1"/>
      </w:numPr>
      <w:spacing w:before="120"/>
      <w:tabs>
        <w:tab w:val="left" w:pos="1134" w:leader="none"/>
      </w:tabs>
    </w:pPr>
    <w:rPr>
      <w:b/>
    </w:rPr>
  </w:style>
  <w:style w:type="character" w:styleId="612" w:customStyle="1">
    <w:name w:val="X Знак"/>
    <w:link w:val="611"/>
    <w:rPr>
      <w:rFonts w:ascii="Times New Roman" w:hAnsi="Times New Roman" w:cs="Times New Roman" w:eastAsia="Times New Roman"/>
      <w:b/>
      <w:sz w:val="24"/>
      <w:szCs w:val="24"/>
      <w:lang w:eastAsia="ru-RU"/>
    </w:rPr>
  </w:style>
  <w:style w:type="paragraph" w:styleId="613" w:customStyle="1">
    <w:name w:val="X.X.X"/>
    <w:basedOn w:val="606"/>
    <w:qFormat/>
    <w:pPr>
      <w:numPr>
        <w:ilvl w:val="2"/>
        <w:numId w:val="1"/>
      </w:numPr>
      <w:spacing w:line="360" w:lineRule="auto"/>
      <w:tabs>
        <w:tab w:val="left" w:pos="1418" w:leader="none"/>
      </w:tabs>
    </w:pPr>
    <w:rPr>
      <w:b/>
    </w:rPr>
  </w:style>
  <w:style w:type="character" w:styleId="614">
    <w:name w:val="Emphasis"/>
    <w:uiPriority w:val="20"/>
    <w:qFormat/>
  </w:style>
  <w:style w:type="character" w:styleId="615">
    <w:name w:val="Strong"/>
    <w:uiPriority w:val="22"/>
    <w:qFormat/>
    <w:rPr>
      <w:b/>
      <w:bCs/>
    </w:rPr>
  </w:style>
  <w:style w:type="character" w:styleId="616" w:customStyle="1">
    <w:name w:val="apple-converted-space"/>
  </w:style>
  <w:style w:type="paragraph" w:styleId="617">
    <w:name w:val="List Paragraph"/>
    <w:basedOn w:val="60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mir-teh.pro" TargetMode="External"/><Relationship Id="rId10" Type="http://schemas.openxmlformats.org/officeDocument/2006/relationships/hyperlink" Target="mailto:info@mir-teh.pro" TargetMode="External"/><Relationship Id="rId11" Type="http://schemas.openxmlformats.org/officeDocument/2006/relationships/hyperlink" Target="http://www.mir-teh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Анна</dc:creator>
  <cp:keywords/>
  <dc:description/>
  <cp:lastModifiedBy>Дмитрий Лушпа</cp:lastModifiedBy>
  <cp:revision>4</cp:revision>
  <dcterms:created xsi:type="dcterms:W3CDTF">2022-12-28T15:19:00Z</dcterms:created>
  <dcterms:modified xsi:type="dcterms:W3CDTF">2023-04-10T06:44:50Z</dcterms:modified>
</cp:coreProperties>
</file>